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C1D" w:rsidRDefault="00212C1D" w:rsidP="00212C1D">
      <w:pPr>
        <w:pStyle w:val="msonmal"/>
        <w:spacing w:before="0" w:beforeAutospacing="0" w:after="0" w:afterAutospacing="0" w:line="560" w:lineRule="atLeast"/>
        <w:jc w:val="both"/>
        <w:rPr>
          <w:rFonts w:ascii="Calibri" w:hAnsi="Calibri" w:cs="Calibri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jc w:val="center"/>
        <w:rPr>
          <w:rFonts w:ascii="Calibri" w:hAnsi="Calibri" w:cs="Calibri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重庆市第十二次社会科学优秀成果奖</w:t>
      </w:r>
      <w:r>
        <w:rPr>
          <w:rFonts w:ascii="Times New Roman" w:hAnsi="Times New Roman" w:cs="Times New Roman"/>
          <w:sz w:val="44"/>
          <w:szCs w:val="44"/>
        </w:rPr>
        <w:br/>
      </w:r>
      <w:bookmarkStart w:id="0" w:name="_GoBack"/>
      <w:bookmarkEnd w:id="0"/>
      <w:r>
        <w:rPr>
          <w:rFonts w:ascii="方正小标宋_GBK" w:eastAsia="方正小标宋_GBK" w:hAnsi="Times New Roman" w:cs="Times New Roman" w:hint="eastAsia"/>
          <w:sz w:val="44"/>
          <w:szCs w:val="44"/>
        </w:rPr>
        <w:t>申报说明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一、评选范围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在规定期限内，我市公民、法人或其他组织完成的社会科学研究成果；我市作者与市外、境外作者合作且符合《重庆市社会科学优秀成果评奖实施细则》和本申报说明规定条件的社会科学研究成果。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二、申报条件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申报成果必须坚持正确政治方向和价值取向，始终坚持马克思主义的指导地位和以人民为中心的研究导向；符合学术规范，学风严谨；无知识产权争议。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（一）申报成果时限。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申报成果属于</w:t>
      </w:r>
      <w:r>
        <w:rPr>
          <w:rFonts w:ascii="Times New Roman" w:hAnsi="Times New Roman" w:cs="Times New Roman"/>
          <w:sz w:val="32"/>
          <w:szCs w:val="32"/>
        </w:rPr>
        <w:t>2020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日</w:t>
      </w:r>
      <w:r>
        <w:rPr>
          <w:rFonts w:cs="Calibri" w:hint="eastAsia"/>
          <w:sz w:val="32"/>
          <w:szCs w:val="32"/>
        </w:rPr>
        <w:t>－</w:t>
      </w:r>
      <w:r>
        <w:rPr>
          <w:rFonts w:ascii="Times New Roman" w:hAnsi="Times New Roman" w:cs="Times New Roman"/>
          <w:sz w:val="32"/>
          <w:szCs w:val="32"/>
        </w:rPr>
        <w:t>2022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31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日期间出版、发表、被采纳应用（或结项）的著作类、论文类或研究报告类成果，可按程序申报。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（二）申报成果类别。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．著作类成果包括专著、编著、译著、工具书、教材、古籍整理、普及读物、研究资料、地方志书等。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．论文类成果包括论文（不含译文）、论文集等。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．研究报告类成果包括咨询报告、论证报告、调研报告等。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以外文形式发表的申报成果，论文需附中文译文全文；著作需提交外文原件或复印件，并同时提交中文目录、中文摘要及主要章节的中文翻译（不少于</w:t>
      </w:r>
      <w:r>
        <w:rPr>
          <w:rFonts w:ascii="Times New Roman" w:hAnsi="Times New Roman" w:cs="Times New Roman"/>
          <w:sz w:val="32"/>
          <w:szCs w:val="32"/>
        </w:rPr>
        <w:t>5000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字）。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未正式出版或未公开发表的研究报告类成果，需出具符合申报时限内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的结项证明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、采纳应用证明或其他有效证明。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（三）不得申报情形。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．存在政治方向和意识形态问题的成果。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．非社科类成果（包括原著为非社会科学成果的译著）。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．交叉学科、新兴学科、边缘学科研究中以自然科学为主的成果。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．已获省（部）级及以上奖励的成果；已申报省（部）级（国家部委除外）的其他社科类奖的成果。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．著作权有争议且尚未妥善解决的成果；有抄袭、剽窃行为或其它弄虚作假行为等问题的成果。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．文艺作品、辑集的人物传略、回忆录、新闻报道等。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．领导讲话、工作总结，公文、法律、法规等规范性文件。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．大事记、概览、统计资料汇编及剪辑转抄的资料书等。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．其他不符合申报的情形。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lastRenderedPageBreak/>
        <w:t>（四）限制申报情形。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．公开出版的多人文章汇集而成的论文集，不得以论文集名义申报，只允许作者以自己的论文单独申报；若论文集为一人论述同一专题，可作为著作申报，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若非同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一专题，可选择其中一篇论文单独申报。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．多卷本或系列成果使用同一书号出版的，只能申报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项。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．丛书类成果，如作为整体申报，则单册不能分别申报；如各分册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系主题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相同或属同一学科，则只能整体申报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项；不同主题或不同学科的，可分别申报。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．带有秘密、机密、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绝密等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字样的成果原则上不能申报；若确需申报，须经作者所在部门上一级保密机关核准同意，并出具同意申报的书面材料。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（五）成果时限确认。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．以第一次发表时间或版权页第一次出版时间为准。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．非正式出版和非公开发表的成果时限以省（部）级及以上党政机关的批示、采纳应用时间（或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项目结项时间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）等为准。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．多卷本或系列成果，以最后出版齐全部分的出版时间为准。写作时间及</w:t>
      </w:r>
      <w:r>
        <w:rPr>
          <w:rFonts w:ascii="方正仿宋_GBK" w:eastAsia="方正仿宋_GBK" w:hAnsi="Calibri" w:cs="Calibri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前言</w:t>
      </w:r>
      <w:r>
        <w:rPr>
          <w:rFonts w:ascii="方正仿宋_GBK" w:eastAsia="方正仿宋_GBK" w:hAnsi="Calibri" w:cs="Calibri" w:hint="eastAsia"/>
          <w:sz w:val="32"/>
          <w:szCs w:val="32"/>
        </w:rPr>
        <w:t>”“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后记</w:t>
      </w:r>
      <w:r>
        <w:rPr>
          <w:rFonts w:ascii="方正仿宋_GBK" w:eastAsia="方正仿宋_GBK" w:hAnsi="Calibri" w:cs="Calibri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中的说明或其他记载时间不能作为确定成果时限的依据。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三、其他要求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lastRenderedPageBreak/>
        <w:t>（一）申报主体。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．成果应以完成单位或第一作者单位名义申报。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名申报人只能牵头申报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项成果，另可参加申报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项。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．申报第九届重庆市发展研究奖的，不得同时申报本次市社科优秀成果奖。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符合申报条件但作者已故的成果，若为单一作者，可由其法定继承人通过作者生前所在单位代理申报；若为多人合作成果，申报人在征得已故第一作者法定继承人和其他作者同意，并出具相关书面证明后方可申报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（二）申报署名。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．论文以正文标题下署名为准；著作以公开出版物的版权页署名为准；未正式出版或未公开发表的研究报告类成果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以结项证书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署名为准；未署名的，以采用单位出具的相关证明材料为准。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．成果由单位或集体署名的，以第一完成单位或集体名义申报；如以个人名义申报，原则上应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由成果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负责人申报，并出具署名单位或集体同意的书面证明材料。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．版权页上署名的顾问、主审等不具有申报资格。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．多人合作的成果，应按成果署名确定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名之内的主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人员，由第一作者牵头申报；第一作者因故不能申报的，出具放弃申报并同意其他作者申报的书面证明材料，由其他合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作者确定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名之内的主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人员申报，但不得将放弃申报的第一作者列入申报名单。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．由两人以上合作完成的集体成果，按正式出版或公开发表成果的署名申报，未正式出版或未公开发表的研究报告类成果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以结项证书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载明的署名申报；每项成果最多署名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人，并提供各自承担工作任务和研究内容的证明材料。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．以外文形式发表的论文，可由第一通讯作者牵头申报，但须第一作者同意，并提供相应的书面证明材料。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（三）时间安排。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．申报人填报时间:自通知发布之日起，可在重庆社科网</w:t>
      </w:r>
      <w:r>
        <w:rPr>
          <w:rFonts w:ascii="方正仿宋_GBK" w:eastAsia="方正仿宋_GBK" w:hAnsi="Calibri" w:cs="Calibri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社科成果评奖系统</w:t>
      </w:r>
      <w:r>
        <w:rPr>
          <w:rFonts w:ascii="方正仿宋_GBK" w:eastAsia="方正仿宋_GBK" w:hAnsi="Calibri" w:cs="Calibri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进行注册，按照要求填报信息并完成材料上传和提交确认；须在通知发布之日起</w:t>
      </w:r>
      <w:r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日内提交所在单位审核。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．单位审核提交时间:单位完成系统审核后，须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日内提交市社科评奖办。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（四）申报程序。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．申报人在</w:t>
      </w:r>
      <w:r>
        <w:rPr>
          <w:rFonts w:ascii="方正仿宋_GBK" w:eastAsia="方正仿宋_GBK" w:hAnsi="Calibri" w:cs="Calibri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社科成果评奖系统</w:t>
      </w:r>
      <w:r>
        <w:rPr>
          <w:rFonts w:ascii="方正仿宋_GBK" w:eastAsia="方正仿宋_GBK" w:hAnsi="Calibri" w:cs="Calibri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（重庆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社科网</w:t>
      </w:r>
      <w:proofErr w:type="gramEnd"/>
      <w:r>
        <w:rPr>
          <w:rFonts w:ascii="Times New Roman" w:hAnsi="Times New Roman" w:cs="Times New Roman"/>
          <w:sz w:val="32"/>
          <w:szCs w:val="32"/>
        </w:rPr>
        <w:t>http://www.cqskl.com/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）注册（已有账号的不用再注册），经所在单位科研管理部门审核通过后，按照系统提示填写申报材料，完成申报。申报截止后不再接受申报。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．申报人填写完成并提交，经所在单位科研管理部门初步审核通过后，再下载《重庆市社会科学优秀成果奖申报表》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（以下简称《申报表》），将纸质的《申报表》、成果、证明成果价值或影响等材料原件一并交至所在单位。纸质《申报表》、成果、证明成果价值或影响等材料原件，应与申报系统所填写的内容完全一致。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．申报人所在单位的科研管理部门或相关部门，按照要求对其申报人的资格和申报材料的真实性进行审核，对符合申报条件的成果填写审核意见，并加盖单位公章。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．各申报单位将申报材料审核后，在规定时间内将本单位汇总的《申报登记表》（可在申报系统中下载）、申报人的纸质《申报表》、成果及相关材料一并交至市社科评奖办。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（五）申报材料。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．在</w:t>
      </w:r>
      <w:r>
        <w:rPr>
          <w:rFonts w:ascii="方正仿宋_GBK" w:eastAsia="方正仿宋_GBK" w:hAnsi="Calibri" w:cs="Calibri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社科成果评奖系统</w:t>
      </w:r>
      <w:r>
        <w:rPr>
          <w:rFonts w:ascii="方正仿宋_GBK" w:eastAsia="方正仿宋_GBK" w:hAnsi="Calibri" w:cs="Calibri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填报并提交。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．用</w:t>
      </w:r>
      <w:r>
        <w:rPr>
          <w:rFonts w:ascii="Times New Roman" w:hAnsi="Times New Roman" w:cs="Times New Roman"/>
          <w:sz w:val="32"/>
          <w:szCs w:val="32"/>
        </w:rPr>
        <w:t>A4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打印并装订成册的《申报表》一式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份。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．成果及相关材料一式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份（其中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份原件）。包括国内外公开出版并公开发行的著作，国内外公开报刊上正式发表的论文，被批示、采用、推广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或结项的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调研类报告，证明材料等佐证材料。论文、报告、佐证材料用</w:t>
      </w:r>
      <w:r>
        <w:rPr>
          <w:rFonts w:ascii="Times New Roman" w:hAnsi="Times New Roman" w:cs="Times New Roman"/>
          <w:sz w:val="32"/>
          <w:szCs w:val="32"/>
        </w:rPr>
        <w:t>A4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纸装订成册。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．加盖所在单位公章的纸质《申报登记表》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份。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．《申报登记表》的电子文档。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凡申报的成果及有关材料，无论获奖与否，均不退还。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四、联系方式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重庆市社会科学评奖办公室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通讯地址:江北区建新东路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号百业兴大厦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楼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邮</w:t>
      </w:r>
      <w:r>
        <w:rPr>
          <w:rFonts w:ascii="Times New Roman" w:hAnsi="Times New Roman" w:cs="Times New Roman"/>
          <w:sz w:val="32"/>
          <w:szCs w:val="32"/>
        </w:rPr>
        <w:t xml:space="preserve">    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编:</w:t>
      </w:r>
      <w:r>
        <w:rPr>
          <w:rFonts w:ascii="Times New Roman" w:hAnsi="Times New Roman" w:cs="Times New Roman"/>
          <w:sz w:val="32"/>
          <w:szCs w:val="32"/>
        </w:rPr>
        <w:t>400020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联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人:于老师、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眭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老师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联系电话:</w:t>
      </w:r>
      <w:r>
        <w:rPr>
          <w:rFonts w:ascii="Times New Roman" w:hAnsi="Times New Roman" w:cs="Times New Roman"/>
          <w:sz w:val="32"/>
          <w:szCs w:val="32"/>
        </w:rPr>
        <w:t>67732295</w:t>
      </w:r>
    </w:p>
    <w:p w:rsidR="00212C1D" w:rsidRDefault="00212C1D" w:rsidP="00212C1D">
      <w:pPr>
        <w:pStyle w:val="msonmal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电子信箱:</w:t>
      </w:r>
      <w:r>
        <w:rPr>
          <w:rFonts w:ascii="Times New Roman" w:hAnsi="Times New Roman" w:cs="Times New Roman"/>
          <w:sz w:val="32"/>
          <w:szCs w:val="32"/>
        </w:rPr>
        <w:t>cqsklghpjb@126.com</w:t>
      </w:r>
    </w:p>
    <w:p w:rsidR="004A6B0E" w:rsidRPr="00212C1D" w:rsidRDefault="004A6B0E"/>
    <w:sectPr w:rsidR="004A6B0E" w:rsidRPr="0021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1D"/>
    <w:rsid w:val="00212C1D"/>
    <w:rsid w:val="004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AE09"/>
  <w15:chartTrackingRefBased/>
  <w15:docId w15:val="{313F0B72-4FD7-4461-81FF-F18F2E4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mal">
    <w:name w:val="msonmal"/>
    <w:basedOn w:val="a"/>
    <w:rsid w:val="00212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2023-12-03T08:29:00Z</dcterms:created>
  <dcterms:modified xsi:type="dcterms:W3CDTF">2023-12-03T08:29:00Z</dcterms:modified>
</cp:coreProperties>
</file>