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eastAsia="方正黑体_GBK"/>
          <w:sz w:val="32"/>
          <w:szCs w:val="32"/>
        </w:rPr>
      </w:pPr>
      <w:r>
        <w:rPr>
          <w:rFonts w:ascii="Times New Roman" w:hAnsi="Times New Roman" w:eastAsia="方正黑体_GBK"/>
          <w:sz w:val="32"/>
          <w:szCs w:val="32"/>
        </w:rPr>
        <w:t>附件1</w:t>
      </w:r>
    </w:p>
    <w:p>
      <w:pPr>
        <w:spacing w:line="660" w:lineRule="exact"/>
        <w:jc w:val="left"/>
        <w:rPr>
          <w:rFonts w:ascii="Times New Roman" w:hAnsi="Times New Roman" w:eastAsia="方正仿宋_GBK"/>
          <w:sz w:val="33"/>
          <w:szCs w:val="33"/>
        </w:rPr>
      </w:pPr>
    </w:p>
    <w:p>
      <w:pPr>
        <w:widowControl/>
        <w:spacing w:line="660" w:lineRule="exact"/>
        <w:jc w:val="center"/>
        <w:outlineLvl w:val="0"/>
        <w:rPr>
          <w:rFonts w:ascii="Times New Roman" w:hAnsi="Times New Roman" w:eastAsia="方正小标宋_GBK"/>
          <w:sz w:val="44"/>
          <w:szCs w:val="44"/>
        </w:rPr>
      </w:pPr>
      <w:r>
        <w:rPr>
          <w:rFonts w:ascii="Times New Roman" w:hAnsi="Times New Roman" w:eastAsia="方正小标宋_GBK"/>
          <w:sz w:val="44"/>
          <w:szCs w:val="44"/>
        </w:rPr>
        <w:t>202</w:t>
      </w:r>
      <w:r>
        <w:rPr>
          <w:rFonts w:hint="eastAsia" w:ascii="Times New Roman" w:hAnsi="Times New Roman" w:eastAsia="方正小标宋_GBK"/>
          <w:sz w:val="44"/>
          <w:szCs w:val="44"/>
        </w:rPr>
        <w:t>1</w:t>
      </w:r>
      <w:r>
        <w:rPr>
          <w:rFonts w:ascii="Times New Roman" w:hAnsi="Times New Roman" w:eastAsia="方正小标宋_GBK"/>
          <w:sz w:val="44"/>
          <w:szCs w:val="44"/>
        </w:rPr>
        <w:t>年度重庆市体育科研项目研究指南</w:t>
      </w:r>
    </w:p>
    <w:p>
      <w:pPr>
        <w:spacing w:line="660" w:lineRule="exact"/>
        <w:jc w:val="left"/>
        <w:rPr>
          <w:rFonts w:ascii="Times New Roman" w:hAnsi="Times New Roman" w:eastAsia="方正仿宋_GBK"/>
          <w:bCs/>
          <w:color w:val="000000"/>
          <w:kern w:val="0"/>
          <w:sz w:val="32"/>
          <w:szCs w:val="32"/>
        </w:rPr>
      </w:pP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1.合理配置体育产业资源，助力“成渝地区双城经济圈”发展</w:t>
      </w:r>
    </w:p>
    <w:p>
      <w:pPr>
        <w:ind w:firstLine="640" w:firstLineChars="200"/>
        <w:jc w:val="left"/>
        <w:rPr>
          <w:rFonts w:hint="eastAsia" w:ascii="Times New Roman" w:hAnsi="Times New Roman" w:eastAsia="方正仿宋_GBK"/>
          <w:sz w:val="32"/>
          <w:szCs w:val="32"/>
        </w:rPr>
      </w:pPr>
      <w:r>
        <w:rPr>
          <w:rFonts w:hint="eastAsia" w:ascii="Times New Roman" w:hAnsi="Times New Roman" w:eastAsia="方正仿宋_GBK"/>
          <w:sz w:val="32"/>
          <w:szCs w:val="32"/>
        </w:rPr>
        <w:t>考核要求：深入调查“成渝经济圈”体育产业发展情况，结合“成渝地区双城经济圈”整体思路，借鉴国内外先进经验，提供“成渝经济圈”体育产业发展最新数据和趋势的分析报告，提供体育产业对重庆经济、社会的促进作用分析，构建合理的资本助推理论模式，搭建体育产业数字化发展理论模式，提供促进“成渝经济圈”的体育产业发展的对策建议。</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2.运动康复在半月板修复术后实践研究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考核要求：探索和建立半月板修复术后运动康复体系。，建立半月板修复术后运动康复规范，举办半月板修复术后运动康复讲座1次，发表论文1</w:t>
      </w:r>
      <w:r>
        <w:rPr>
          <w:rFonts w:ascii="Times New Roman" w:hAnsi="Times New Roman" w:eastAsia="方正仿宋_GBK"/>
          <w:sz w:val="32"/>
          <w:szCs w:val="32"/>
        </w:rPr>
        <w:t>-</w:t>
      </w:r>
      <w:r>
        <w:rPr>
          <w:rFonts w:hint="eastAsia" w:ascii="Times New Roman" w:hAnsi="Times New Roman" w:eastAsia="方正仿宋_GBK"/>
          <w:sz w:val="32"/>
          <w:szCs w:val="32"/>
        </w:rPr>
        <w:t>2篇。</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3.重庆市代谢综合症人群运动和膳食处方的定制和应用研究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考核要求：改善代谢综合症人群血糖、血脂、血压、体重及其他重要代谢参数，防止和延缓并发症和相关疾病发生与进展，探索制定最优化的运动和膳食干预处方组合，提供技术方案应用报告，发表论文1-2篇。</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4.体能诊断与评估对古典跤项目运动员运动表现的影响研究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考核要求：探索体能诊断与评估数据与古典跤项目运动员专项能力及运动成绩的关系，对古典跤运动员进行三次基础和专项测试，进队开展专题讲座2次以上，发表论文1篇。</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5.基于足底形态及足底压力监测的长跑运动损伤防治策略研究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考核要求：借鉴国内外最新研究成果，熟练应用足底压力监测技术，探索长跑对不同足底形态的足弓及足底压力的影响规律，提出长跑运动损伤防治策略，发表论文1篇。</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6.重庆市优秀运动员运动性哮喘的系统管理的研究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深入调查重庆市优秀运动员运行性哮喘（EIB）的患病率及可能的诱因，制定减少EIB发生或减轻EIB发作的严重程度的干预措施，提供优秀运动员EIB科学管理的对策建议，至少在运动队开展讲座培训1次，发表论文1-2篇。</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7.复杂环境下马拉松赛事动态实况信息自主采集关键技术研究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考核要求：熟悉马拉松赛事组织形式和特点，通过技术手段采集马拉松赛事动态实况信息，提供马拉松赛事动态实况信息数据分析报告和赛事调整优化建议。</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8.加速康复外科（ERAS）在膝关节交叉韧带运动损伤中的应用研究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考核要求：调查分析近五年膝关节交叉韧带运动损伤严重程度、类型和发生机制，提供适合膝关节交叉韧带损伤的ERAS方案和应用情况报告，发表论文1-2篇。</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9.重庆市老年骨质疏松患者运动处方的定制与应用研究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考核要求：提供我市老年骨质疏松患者数据分析报告，分类制定针对性强切实可行的运动处方，并提供运动处方应用报告，至少开展公益讲座或培训1次。</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10.徒手抗阻训练骨骼肌对慢性缺血缺氧患者呼吸功能和运动能力改善的应用研究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考核要求：提供我市心血管疾病患者亚健康状况调查报告，分类提出徒手抗阻训练干预策略，并提供应用研究报告，至少开展公益讲座或培训1次。</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11.健康中国战略下重庆高校学生体质变化研究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考核要求：提供健康中国战略实施后我市高校学生体质情况调查报告，提出加强我市高校学生体质的技术指南和决策建议，至少开展公益讲座或培训1次。</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12.针刺MTrPs治疗女性运动员原发性痛经的疗效研究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考核要求：提供我市女性运动员原发性痛经情况调查报告，每月进队治疗运动员不少于20人次，提供治疗康复效果评价与分析，提供技术推广方案和实施建议，至少进队开展培训讲座2次以上。</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13.重庆市市运会反兴奋剂工作模式研究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考核要求：熟悉大型综合性运动会反兴奋剂工作流程，提供市运会反兴奋剂工作实施路径和指导建议。</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14.优秀举重运动员左右侧肌力平衡和主动肌/拮抗肌比率对运动表现影响的研究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考核要求：熟悉举重项目训练特点，能够长期跟队研究，跟队时间不少于12个月，提供运动员评估分析报告，提供全方位肌力测试方案，提供市级优秀运动队应用评价报告。</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15.</w:t>
      </w:r>
      <w:r>
        <w:rPr>
          <w:rFonts w:hint="eastAsia"/>
        </w:rPr>
        <w:t xml:space="preserve"> </w:t>
      </w:r>
      <w:r>
        <w:rPr>
          <w:rFonts w:hint="eastAsia" w:ascii="Times New Roman" w:hAnsi="Times New Roman" w:eastAsia="方正仿宋_GBK"/>
          <w:sz w:val="32"/>
          <w:szCs w:val="32"/>
        </w:rPr>
        <w:t>十四五”时期我市老年人体育运动需求与发展策略研究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考核要求：熟悉我市“十四五”规划，提供我市老年人群开展体育锻炼的现状调查报告，提供我市老年人体育运动健康管理建议，提供针对性强切实可行的决策报告，至少开展开展公益讲座或培训1次。</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16.不同运动方式对睡眠障碍患者的影响及改善策略研究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考核要求：根据睡眠障碍患者制定个性化的运动处方，建立不少于100人次的运动相关睡眠资料档案，提供睡眠障碍患者运动指导手册，开展5期以上的以睡眠与运动为主题的科普讲座。</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17.重庆市承办国内外大型综合性体育赛事的影响及对策研究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考核要求：提供我市赛事承接现状调查报告，建立我市承办大型综合性体育赛事要素评价指标体系，提供我市承办国内外大型综合性体育赛事的影响的决策报告。</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18.疫情防控常态化背景下重庆市健身俱乐部发展对策研究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考核要求：提供疫情防控常态化背景下我市健身俱乐部运营情况调查报告，提供促进发展的对策建议，开展公益讲座或培训1场以上，发表论文1篇。</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19.我市优秀男子短跑运动员备战大型赛事赛前训练负荷与竞技状态调控研究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熟悉男子短跑项目训练特点，能够长期跟队开展训练，跟队时间不少于12个月，提供运动员评估分析报告，提供国内外优秀运动员特点分析报告，提供综合训练方案，综合运用多种方式解决技术提升问题，提供市级优秀运动队应用评价报告。</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20.重庆市城区社区老年人体育发展现状研究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考核要求：通过多种调查方式，提供数据调查方案，提供我市城区社会老年人体育发展状况调查报告、数据分析报告、优化路径。</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21.“轮转冰、轮冰结合”思路下我市本土冰球运动人才培养体系研究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考核要求：提供我市冰球项目“轮转冰”的可行性及现状分析报告，探索“轮冰结合”人才培养模式，提供我市冰球运动训练体系建设的技术指南和实施路径。</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22.优秀运动员生理生化预警和风险管控技术研究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考核要求：开发智能技术手段，动态监控优秀运动员生理生化数据，实现数据远程收集、分析、自主预警等功能，提供应用效果评估报告。</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23.重庆市青少年骨龄智能判读、辅助诊断系统研究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考核要求：开发骨龄快速、准确判读技术，建立我市青少年的生长指标和骨龄数据库，并提供针对性的指导、预警和干预服务。</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24.同场竞技型运动的行为与策略识别智能视频分析系统研究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考核要求：开发1套视频分析系统，提供行为识别、策略识别、智能辅助服务，提供系统应用分析报告。</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25.重庆市排球运动发展和人才储备现状调查</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考核要求：通过深入调查，提供我市群众排球发展状况调查报告，提供我市排球后备人才现状调查报告，借鉴国内外先进地区经验，进行综合分析，提供推进我市排球运动发展的决策建议。</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26.运动刺激鸢尾素分泌改善骨骼肌质与量的机制研究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考核要求：调查分析我市糖尿病患者通过运动刺激鸢尾素分泌改善骨骼肌的情况报告，发表论文1-2篇。</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27.体育锻炼培育高校学生积极品质的路径研究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考核要求：提供体育锻炼培育大学生积极品质的实施路径、培育模式、评估体系，提供高校学生体育训练指南、心理健康手册，至少开展公益讲座或培训2次。</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28.肌筋膜触发点原理治疗踝部运动损伤的临床研究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研究对象为我市优秀运动员，提供我市运动员踝部运动损伤患者情况调查报告，每月进队治疗运动员不少于20人次，提供针对性强切实可行的康复方法与分析报告，提供技术推广方案和实施建议，发表论文1篇。</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29.重庆市橄榄球运动员的常见伤病及其相关因素研究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熟悉橄榄球项目训练特点和常见伤病，能够经常跟队监测运动员伤病情况对其训练的影响，每周跟队不少于2次，进队时间不少于1年，提供我市橄榄球队运动员伤病情况调查报告，提供伤病防治策略建议，提供运动队应用报告。</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30．基于人体体表汗液的运动员乳酸水平监测与应用研究</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考核要求：开发运动员体表汗液收集和汗液中乳酸成分分析的技术路线，提供汗液乳酸值和血液乳酸值对比分析报告，提供应用研究报告，发表论文1篇。</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43D83E9-05EA-454E-A688-96BEE0B2D80D}"/>
  </w:font>
  <w:font w:name="Arial">
    <w:panose1 w:val="020B0604020202020204"/>
    <w:charset w:val="01"/>
    <w:family w:val="swiss"/>
    <w:pitch w:val="default"/>
    <w:sig w:usb0="E0002EFF" w:usb1="C000785B" w:usb2="00000009" w:usb3="00000000" w:csb0="400001FF" w:csb1="FFFF0000"/>
    <w:embedRegular r:id="rId2" w:fontKey="{B9892751-8353-4FA5-8788-F17B6F781FD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995DC1D-82BB-4DB8-BBC5-88672784F811}"/>
  </w:font>
  <w:font w:name="Symbol">
    <w:panose1 w:val="05050102010706020507"/>
    <w:charset w:val="02"/>
    <w:family w:val="roman"/>
    <w:pitch w:val="default"/>
    <w:sig w:usb0="00000000" w:usb1="00000000" w:usb2="00000000" w:usb3="00000000" w:csb0="80000000" w:csb1="00000000"/>
    <w:embedRegular r:id="rId4" w:fontKey="{6B9778D6-BCCE-4E09-8E81-1A18E9B0556A}"/>
  </w:font>
  <w:font w:name="Calibri">
    <w:panose1 w:val="020F0502020204030204"/>
    <w:charset w:val="00"/>
    <w:family w:val="swiss"/>
    <w:pitch w:val="default"/>
    <w:sig w:usb0="E4002EFF" w:usb1="C000247B" w:usb2="00000009" w:usb3="00000000" w:csb0="200001FF" w:csb1="00000000"/>
    <w:embedRegular r:id="rId5" w:fontKey="{49964DFC-8AE8-4027-BC04-83FF2A43B548}"/>
  </w:font>
  <w:font w:name="方正黑体_GBK">
    <w:panose1 w:val="03000509000000000000"/>
    <w:charset w:val="86"/>
    <w:family w:val="script"/>
    <w:pitch w:val="default"/>
    <w:sig w:usb0="00000001" w:usb1="080E0000" w:usb2="00000000" w:usb3="00000000" w:csb0="00040000" w:csb1="00000000"/>
    <w:embedRegular r:id="rId6" w:fontKey="{E0A7EDC0-D193-4A5A-A04F-1E8789B75EC3}"/>
  </w:font>
  <w:font w:name="方正仿宋_GBK">
    <w:panose1 w:val="03000509000000000000"/>
    <w:charset w:val="86"/>
    <w:family w:val="script"/>
    <w:pitch w:val="default"/>
    <w:sig w:usb0="00000001" w:usb1="080E0000" w:usb2="00000000" w:usb3="00000000" w:csb0="00040000" w:csb1="00000000"/>
    <w:embedRegular r:id="rId7" w:fontKey="{B2A0260C-41E0-4CF6-B445-4431E3DA47E8}"/>
  </w:font>
  <w:font w:name="方正小标宋_GBK">
    <w:panose1 w:val="03000509000000000000"/>
    <w:charset w:val="86"/>
    <w:family w:val="script"/>
    <w:pitch w:val="default"/>
    <w:sig w:usb0="00000001" w:usb1="080E0000" w:usb2="00000000" w:usb3="00000000" w:csb0="00040000" w:csb1="00000000"/>
    <w:embedRegular r:id="rId8" w:fontKey="{80766652-27E5-4286-8E05-3494F9D145E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DE75F3"/>
    <w:rsid w:val="30DE75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2021-05-08T02:04:00Z</dcterms:created>
  <dc:creator>Breeze</dc:creator>
  <cp:lastModifiedBy>Breeze</cp:lastModifiedBy>
  <dcterms:modified xsi:type="dcterms:W3CDTF">2021-05-08T02:05:35Z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0105FCD85699447B8E2BE5A3BA161324</vt:lpwstr>
  </property>
  <property fmtid="{D5CDD505-2E9C-101B-9397-08002B2CF9AE}" pid="4" name="KSOSaveFontToCloudKey">
    <vt:lpwstr>556668185_embed</vt:lpwstr>
  </property>
</Properties>
</file>